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AD" w:rsidRDefault="00B915F0">
      <w:pPr>
        <w:spacing w:line="360" w:lineRule="auto"/>
        <w:jc w:val="center"/>
        <w:rPr>
          <w:rFonts w:ascii="Lexend" w:eastAsia="Lexend" w:hAnsi="Lexend" w:cs="Lexend"/>
          <w:b/>
          <w:sz w:val="28"/>
          <w:szCs w:val="28"/>
        </w:rPr>
      </w:pPr>
      <w:r>
        <w:rPr>
          <w:rFonts w:ascii="Lexend" w:eastAsia="Lexend" w:hAnsi="Lexend" w:cs="Lexend"/>
          <w:b/>
          <w:sz w:val="28"/>
          <w:szCs w:val="28"/>
        </w:rPr>
        <w:t>Comprendre la hiérarchie de l’information</w:t>
      </w:r>
    </w:p>
    <w:p w:rsidR="00E27BAD" w:rsidRDefault="00B915F0">
      <w:pPr>
        <w:spacing w:line="360" w:lineRule="auto"/>
        <w:jc w:val="center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Comparaison de deux journaux télévisés</w:t>
      </w:r>
    </w:p>
    <w:p w:rsidR="00E27BAD" w:rsidRDefault="00E27BAD">
      <w:pPr>
        <w:spacing w:line="360" w:lineRule="auto"/>
        <w:rPr>
          <w:rFonts w:ascii="Lexend" w:eastAsia="Lexend" w:hAnsi="Lexend" w:cs="Lexend"/>
        </w:rPr>
      </w:pPr>
    </w:p>
    <w:p w:rsidR="00E27BAD" w:rsidRDefault="00E27BAD">
      <w:pPr>
        <w:spacing w:line="360" w:lineRule="auto"/>
        <w:rPr>
          <w:rFonts w:ascii="Lexend" w:eastAsia="Lexend" w:hAnsi="Lexend" w:cs="Lexend"/>
        </w:rPr>
      </w:pPr>
    </w:p>
    <w:p w:rsidR="00E27BAD" w:rsidRDefault="00B915F0">
      <w:pPr>
        <w:spacing w:line="360" w:lineRule="auto"/>
        <w:jc w:val="both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I. Définition : qu’est-ce qu’un journal télévisé ?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  <w:b/>
        </w:rPr>
      </w:pP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Un journal télévisé ou JT est une émission d'information diffusée à la télévision et généralement animée par un présentateur unique ou un duo de présentateurs qui introduisent des reportages ou des séquences sur des sujets internationaux, nationaux ou loca</w:t>
      </w:r>
      <w:r>
        <w:rPr>
          <w:rFonts w:ascii="Lexend" w:eastAsia="Lexend" w:hAnsi="Lexend" w:cs="Lexend"/>
        </w:rPr>
        <w:t>ux. Le JT est généralement diffusé tous les jours à heure fixe : le 13h / le 20h. L’ordre des sujets est choisi par le rédacteur en chef du journal en fonction de l’importance de l’information, de l’intérêt qu’elle est susceptible d’avoir en fonction du pr</w:t>
      </w:r>
      <w:r>
        <w:rPr>
          <w:rFonts w:ascii="Lexend" w:eastAsia="Lexend" w:hAnsi="Lexend" w:cs="Lexend"/>
        </w:rPr>
        <w:t>ofil du téléspectateur.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</w:rPr>
      </w:pPr>
    </w:p>
    <w:p w:rsidR="00E27BAD" w:rsidRDefault="00B915F0">
      <w:pPr>
        <w:spacing w:line="360" w:lineRule="auto"/>
        <w:jc w:val="both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II. Comparer deux JT d’une même chaîne de télévision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  <w:b/>
        </w:rPr>
      </w:pPr>
    </w:p>
    <w:p w:rsidR="00E27BAD" w:rsidRDefault="00B915F0">
      <w:pPr>
        <w:numPr>
          <w:ilvl w:val="0"/>
          <w:numId w:val="1"/>
        </w:num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Quels sont les sujets d’actualité mis en avant dans le JT de 13h ?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-..................................................................................................................................................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</w:rPr>
      </w:pPr>
    </w:p>
    <w:p w:rsidR="00E27BAD" w:rsidRDefault="00B915F0">
      <w:pPr>
        <w:numPr>
          <w:ilvl w:val="0"/>
          <w:numId w:val="1"/>
        </w:num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Quels sont les sujets d’actualité mis en avant dans le JT de 20h ?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</w:rPr>
      </w:pPr>
    </w:p>
    <w:p w:rsidR="00E27BAD" w:rsidRDefault="00E27BAD">
      <w:pPr>
        <w:spacing w:line="360" w:lineRule="auto"/>
        <w:jc w:val="both"/>
        <w:rPr>
          <w:rFonts w:ascii="Lexend" w:eastAsia="Lexend" w:hAnsi="Lexend" w:cs="Lexend"/>
        </w:rPr>
      </w:pPr>
    </w:p>
    <w:p w:rsidR="00E27BAD" w:rsidRDefault="00B915F0">
      <w:pPr>
        <w:numPr>
          <w:ilvl w:val="0"/>
          <w:numId w:val="1"/>
        </w:num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lastRenderedPageBreak/>
        <w:t>Comment pourrais-tu décrire la posture des deux journalistes ? (</w:t>
      </w:r>
      <w:proofErr w:type="gramStart"/>
      <w:r>
        <w:rPr>
          <w:rFonts w:ascii="Lexend" w:eastAsia="Lexend" w:hAnsi="Lexend" w:cs="Lexend"/>
        </w:rPr>
        <w:t>position</w:t>
      </w:r>
      <w:proofErr w:type="gramEnd"/>
      <w:r>
        <w:rPr>
          <w:rFonts w:ascii="Lexend" w:eastAsia="Lexend" w:hAnsi="Lexend" w:cs="Lexend"/>
        </w:rPr>
        <w:t xml:space="preserve"> du corps, manière de s’adresser au téléspectateur, expressions utilisées)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JT de 13h :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JT de 20h :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</w:rPr>
      </w:pPr>
    </w:p>
    <w:p w:rsidR="00E27BAD" w:rsidRDefault="00B915F0">
      <w:pPr>
        <w:numPr>
          <w:ilvl w:val="0"/>
          <w:numId w:val="1"/>
        </w:num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Comparez les deux JT de 13h et 20h : quelles sont les raisons d’une telle dif</w:t>
      </w:r>
      <w:r>
        <w:rPr>
          <w:rFonts w:ascii="Lexend" w:eastAsia="Lexend" w:hAnsi="Lexend" w:cs="Lexend"/>
        </w:rPr>
        <w:t>férence de choix entre les deux rédactions ?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...............................................................................................................................................................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</w:rPr>
      </w:pPr>
    </w:p>
    <w:p w:rsidR="00E27BAD" w:rsidRDefault="00B915F0">
      <w:pPr>
        <w:spacing w:line="360" w:lineRule="auto"/>
        <w:jc w:val="both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III. Regardez la vidéo sur la hiérarchisation de l'information :</w:t>
      </w:r>
    </w:p>
    <w:p w:rsidR="00E27BAD" w:rsidRDefault="00E27BAD">
      <w:pPr>
        <w:spacing w:line="360" w:lineRule="auto"/>
        <w:jc w:val="both"/>
        <w:rPr>
          <w:rFonts w:ascii="Lexend" w:eastAsia="Lexend" w:hAnsi="Lexend" w:cs="Lexend"/>
          <w:b/>
        </w:rPr>
      </w:pP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Expliquez les quatre paramètr</w:t>
      </w:r>
      <w:r>
        <w:rPr>
          <w:rFonts w:ascii="Lexend" w:eastAsia="Lexend" w:hAnsi="Lexend" w:cs="Lexend"/>
        </w:rPr>
        <w:t>es qui permettent de choisir les informations présentées dans un journal :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hyperlink r:id="rId7">
        <w:r>
          <w:rPr>
            <w:color w:val="0000EE"/>
            <w:u w:val="single"/>
          </w:rPr>
          <w:t>La hiérarchie de l'info - Les Clés des Médias</w:t>
        </w:r>
      </w:hyperlink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 Importance : ...........................................................................................................................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.....................................................................................................................</w:t>
      </w:r>
      <w:r>
        <w:rPr>
          <w:rFonts w:ascii="Lexend" w:eastAsia="Lexend" w:hAnsi="Lexend" w:cs="Lexend"/>
        </w:rPr>
        <w:t>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 Vente</w:t>
      </w:r>
      <w:proofErr w:type="gramStart"/>
      <w:r>
        <w:rPr>
          <w:rFonts w:ascii="Lexend" w:eastAsia="Lexend" w:hAnsi="Lexend" w:cs="Lexend"/>
        </w:rPr>
        <w:t xml:space="preserve"> :......................................................................................................................................</w:t>
      </w:r>
      <w:proofErr w:type="gramEnd"/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.................................................................................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 Originalité</w:t>
      </w:r>
      <w:proofErr w:type="gramStart"/>
      <w:r>
        <w:rPr>
          <w:rFonts w:ascii="Lexend" w:eastAsia="Lexend" w:hAnsi="Lexend" w:cs="Lexend"/>
        </w:rPr>
        <w:t xml:space="preserve"> :..............................................................................................................................</w:t>
      </w:r>
      <w:proofErr w:type="gramEnd"/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...............................................</w:t>
      </w:r>
      <w:r>
        <w:rPr>
          <w:rFonts w:ascii="Lexend" w:eastAsia="Lexend" w:hAnsi="Lexend" w:cs="Lexend"/>
        </w:rPr>
        <w:t>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- Cible : .....................................................................................................................................</w:t>
      </w:r>
    </w:p>
    <w:p w:rsidR="00E27BAD" w:rsidRDefault="00B915F0">
      <w:pPr>
        <w:spacing w:line="360" w:lineRule="auto"/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...........</w:t>
      </w:r>
      <w:r>
        <w:rPr>
          <w:rFonts w:ascii="Lexend" w:eastAsia="Lexend" w:hAnsi="Lexend" w:cs="Lexend"/>
        </w:rPr>
        <w:t>........................................................................................................</w:t>
      </w:r>
      <w:r w:rsidR="0084665B">
        <w:rPr>
          <w:rFonts w:ascii="Lexend" w:eastAsia="Lexend" w:hAnsi="Lexend" w:cs="Lexend"/>
        </w:rPr>
        <w:t>...................................</w:t>
      </w:r>
      <w:bookmarkStart w:id="0" w:name="_GoBack"/>
      <w:bookmarkEnd w:id="0"/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5. Vocabulaire de la Une de presse : 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center"/>
        <w:rPr>
          <w:rFonts w:ascii="Lexend" w:eastAsia="Lexend" w:hAnsi="Lexend" w:cs="Lexend"/>
        </w:rPr>
      </w:pPr>
      <w:r>
        <w:rPr>
          <w:rFonts w:ascii="Lexend" w:eastAsia="Lexend" w:hAnsi="Lexend" w:cs="Lexend"/>
          <w:noProof/>
          <w:lang w:val="fr-FR"/>
        </w:rPr>
        <w:drawing>
          <wp:inline distT="114300" distB="114300" distL="114300" distR="114300">
            <wp:extent cx="3805238" cy="50396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5039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7BAD" w:rsidRDefault="00E27BAD">
      <w:pPr>
        <w:jc w:val="both"/>
        <w:rPr>
          <w:rFonts w:ascii="Lexend" w:eastAsia="Lexend" w:hAnsi="Lexend" w:cs="Lexend"/>
          <w:b/>
        </w:rPr>
      </w:pPr>
    </w:p>
    <w:p w:rsidR="00E27BAD" w:rsidRDefault="00E27BAD">
      <w:pPr>
        <w:jc w:val="both"/>
        <w:rPr>
          <w:rFonts w:ascii="Lexend" w:eastAsia="Lexend" w:hAnsi="Lexend" w:cs="Lexend"/>
          <w:b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t xml:space="preserve">Bandeau : </w:t>
      </w:r>
      <w:r>
        <w:rPr>
          <w:rFonts w:ascii="Lexend" w:eastAsia="Lexend" w:hAnsi="Lexend" w:cs="Lexend"/>
        </w:rPr>
        <w:t xml:space="preserve"> un gros titre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t>Oreilles</w:t>
      </w:r>
      <w:r>
        <w:rPr>
          <w:rFonts w:ascii="Lexend" w:eastAsia="Lexend" w:hAnsi="Lexend" w:cs="Lexend"/>
        </w:rPr>
        <w:t xml:space="preserve"> : un titre qui renvoie à une page intérieure ou une publicité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t>Manchette</w:t>
      </w:r>
      <w:r>
        <w:rPr>
          <w:rFonts w:ascii="Lexend" w:eastAsia="Lexend" w:hAnsi="Lexend" w:cs="Lexend"/>
        </w:rPr>
        <w:t xml:space="preserve"> :  nom du journal, son prix, la date, le numéro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t>Tribune</w:t>
      </w:r>
      <w:r>
        <w:rPr>
          <w:rFonts w:ascii="Lexend" w:eastAsia="Lexend" w:hAnsi="Lexend" w:cs="Lexend"/>
        </w:rPr>
        <w:t xml:space="preserve"> : le gros titre</w:t>
      </w:r>
    </w:p>
    <w:p w:rsidR="00E27BAD" w:rsidRDefault="00E27BAD">
      <w:pPr>
        <w:jc w:val="both"/>
        <w:rPr>
          <w:rFonts w:ascii="Lexend" w:eastAsia="Lexend" w:hAnsi="Lexend" w:cs="Lexend"/>
          <w:b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t>Sous tribunes</w:t>
      </w:r>
      <w:r>
        <w:rPr>
          <w:rFonts w:ascii="Lexend" w:eastAsia="Lexend" w:hAnsi="Lexend" w:cs="Lexend"/>
        </w:rPr>
        <w:t xml:space="preserve"> : un éditorial, un début d’article, une illustration, ….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t>Ventre</w:t>
      </w:r>
      <w:r>
        <w:rPr>
          <w:rFonts w:ascii="Lexend" w:eastAsia="Lexend" w:hAnsi="Lexend" w:cs="Lexend"/>
        </w:rPr>
        <w:t xml:space="preserve"> : un article important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proofErr w:type="spellStart"/>
      <w:r>
        <w:rPr>
          <w:rFonts w:ascii="Lexend" w:eastAsia="Lexend" w:hAnsi="Lexend" w:cs="Lexend"/>
          <w:b/>
        </w:rPr>
        <w:t>Rez</w:t>
      </w:r>
      <w:proofErr w:type="spellEnd"/>
      <w:r>
        <w:rPr>
          <w:rFonts w:ascii="Lexend" w:eastAsia="Lexend" w:hAnsi="Lexend" w:cs="Lexend"/>
          <w:b/>
        </w:rPr>
        <w:t xml:space="preserve"> de chaussé ou pied de page</w:t>
      </w:r>
      <w:r>
        <w:rPr>
          <w:rFonts w:ascii="Lexend" w:eastAsia="Lexend" w:hAnsi="Lexend" w:cs="Lexend"/>
        </w:rPr>
        <w:t xml:space="preserve"> : d’autres articles moins importants</w:t>
      </w:r>
    </w:p>
    <w:p w:rsidR="00E27BAD" w:rsidRDefault="00E27BAD">
      <w:pPr>
        <w:jc w:val="both"/>
        <w:rPr>
          <w:rFonts w:ascii="Lexend" w:eastAsia="Lexend" w:hAnsi="Lexend" w:cs="Lexend"/>
          <w:b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</w:rPr>
        <w:lastRenderedPageBreak/>
        <w:t>Cheval</w:t>
      </w:r>
      <w:r>
        <w:rPr>
          <w:rFonts w:ascii="Lexend" w:eastAsia="Lexend" w:hAnsi="Lexend" w:cs="Lexend"/>
        </w:rPr>
        <w:t xml:space="preserve"> : un article qui continue en page intérieure. </w:t>
      </w:r>
    </w:p>
    <w:p w:rsidR="00E27BAD" w:rsidRDefault="00E27BAD">
      <w:pPr>
        <w:jc w:val="both"/>
        <w:rPr>
          <w:rFonts w:ascii="Lexend" w:eastAsia="Lexend" w:hAnsi="Lexend" w:cs="Lexend"/>
          <w:b/>
        </w:rPr>
      </w:pPr>
    </w:p>
    <w:p w:rsidR="00E27BAD" w:rsidRDefault="00E27BAD">
      <w:pPr>
        <w:jc w:val="both"/>
        <w:rPr>
          <w:rFonts w:ascii="Lexend" w:eastAsia="Lexend" w:hAnsi="Lexend" w:cs="Lexend"/>
          <w:b/>
        </w:rPr>
      </w:pPr>
    </w:p>
    <w:p w:rsidR="00E27BAD" w:rsidRDefault="00B915F0">
      <w:pPr>
        <w:jc w:val="both"/>
        <w:rPr>
          <w:rFonts w:ascii="Lexend" w:eastAsia="Lexend" w:hAnsi="Lexend" w:cs="Lexend"/>
          <w:b/>
          <w:sz w:val="28"/>
          <w:szCs w:val="28"/>
        </w:rPr>
      </w:pPr>
      <w:r>
        <w:rPr>
          <w:rFonts w:ascii="Lexend" w:eastAsia="Lexend" w:hAnsi="Lexend" w:cs="Lexend"/>
          <w:b/>
          <w:sz w:val="28"/>
          <w:szCs w:val="28"/>
        </w:rPr>
        <w:t>La hiérarchisation de l’information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hyperlink r:id="rId9">
        <w:r>
          <w:rPr>
            <w:rFonts w:ascii="Lexend" w:eastAsia="Lexend" w:hAnsi="Lexend" w:cs="Lexend"/>
            <w:color w:val="1155CC"/>
            <w:u w:val="single"/>
          </w:rPr>
          <w:t>http://viewpure.com/KXo20L5ESdk?start=0&amp;end=0</w:t>
        </w:r>
      </w:hyperlink>
      <w:r>
        <w:rPr>
          <w:rFonts w:ascii="Lexend" w:eastAsia="Lexend" w:hAnsi="Lexend" w:cs="Lexend"/>
        </w:rPr>
        <w:t xml:space="preserve"> 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Quels sont les 4 éléments qui permettent de classer les informations de la plus importante à la moins importante ? 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1- ………………………………………………………………………………………………………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2- ………………………………………………………………………………………………………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3-</w:t>
      </w:r>
      <w:r>
        <w:rPr>
          <w:rFonts w:ascii="Lexend" w:eastAsia="Lexend" w:hAnsi="Lexend" w:cs="Lexend"/>
        </w:rPr>
        <w:t xml:space="preserve"> ………………………………………………………………………………………………………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4- ………………………………………………………………………………………………………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E27BAD">
      <w:pPr>
        <w:jc w:val="both"/>
        <w:rPr>
          <w:rFonts w:ascii="Lexend" w:eastAsia="Lexend" w:hAnsi="Lexend" w:cs="Lexend"/>
        </w:rPr>
      </w:pPr>
    </w:p>
    <w:p w:rsidR="00E27BAD" w:rsidRDefault="00B915F0">
      <w:pPr>
        <w:jc w:val="both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En vous aidant des éléments de classification ci-dessus et de la fiche sur la structure d’une Une de presse, faites votre propre Une sur une feuille A4 à partir des info</w:t>
      </w:r>
      <w:r>
        <w:rPr>
          <w:rFonts w:ascii="Lexend" w:eastAsia="Lexend" w:hAnsi="Lexend" w:cs="Lexend"/>
        </w:rPr>
        <w:t>rmations et des visuels du dossier de presse ci-joint.</w:t>
      </w:r>
    </w:p>
    <w:p w:rsidR="00E27BAD" w:rsidRDefault="00E27BAD">
      <w:pPr>
        <w:jc w:val="both"/>
        <w:rPr>
          <w:rFonts w:ascii="Lexend" w:eastAsia="Lexend" w:hAnsi="Lexend" w:cs="Lexend"/>
        </w:rPr>
      </w:pPr>
    </w:p>
    <w:sectPr w:rsidR="00E27BAD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F0" w:rsidRDefault="00B915F0">
      <w:pPr>
        <w:spacing w:line="240" w:lineRule="auto"/>
      </w:pPr>
      <w:r>
        <w:separator/>
      </w:r>
    </w:p>
  </w:endnote>
  <w:endnote w:type="continuationSeparator" w:id="0">
    <w:p w:rsidR="00B915F0" w:rsidRDefault="00B9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F0" w:rsidRDefault="00B915F0">
      <w:pPr>
        <w:spacing w:line="240" w:lineRule="auto"/>
      </w:pPr>
      <w:r>
        <w:separator/>
      </w:r>
    </w:p>
  </w:footnote>
  <w:footnote w:type="continuationSeparator" w:id="0">
    <w:p w:rsidR="00B915F0" w:rsidRDefault="00B91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AD" w:rsidRDefault="00B915F0">
    <w:pPr>
      <w:jc w:val="center"/>
    </w:pPr>
    <w:r>
      <w:rPr>
        <w:rFonts w:ascii="Lexend" w:eastAsia="Lexend" w:hAnsi="Lexend" w:cs="Lexend"/>
        <w:sz w:val="20"/>
        <w:szCs w:val="20"/>
      </w:rPr>
      <w:t>4e - Projet Presse - Séance 4 - La hiérarchisation de l’information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10B53"/>
    <w:multiLevelType w:val="multilevel"/>
    <w:tmpl w:val="4A589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AD"/>
    <w:rsid w:val="0084665B"/>
    <w:rsid w:val="00B915F0"/>
    <w:rsid w:val="00E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2FBB"/>
  <w15:docId w15:val="{B9AB2C68-643C-4AB6-8F6C-9885D64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3jTngMjW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ewpure.com/KXo20L5ESdk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Le-Gall</cp:lastModifiedBy>
  <cp:revision>2</cp:revision>
  <dcterms:created xsi:type="dcterms:W3CDTF">2022-06-09T15:29:00Z</dcterms:created>
  <dcterms:modified xsi:type="dcterms:W3CDTF">2022-06-09T15:37:00Z</dcterms:modified>
</cp:coreProperties>
</file>